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3C3BB" w14:textId="2E5AC1E2" w:rsidR="00604781" w:rsidRPr="00EC14B6" w:rsidRDefault="008B7AFA" w:rsidP="00E45D18">
      <w:pPr>
        <w:rPr>
          <w:b/>
          <w:bCs w:val="0"/>
          <w:color w:val="FF0000"/>
          <w:lang w:val="nl-NL"/>
        </w:rPr>
      </w:pPr>
      <w:r w:rsidRPr="00DC0079">
        <w:rPr>
          <w:rFonts w:eastAsia="Cambria Math"/>
          <w:b/>
          <w:bCs w:val="0"/>
          <w:iCs/>
          <w:noProof/>
          <w:color w:val="FF0000"/>
          <w:sz w:val="36"/>
          <w:szCs w:val="36"/>
        </w:rPr>
        <w:drawing>
          <wp:anchor distT="0" distB="0" distL="114300" distR="114300" simplePos="0" relativeHeight="251658240" behindDoc="1" locked="0" layoutInCell="1" allowOverlap="1" wp14:anchorId="2EA1DF4E" wp14:editId="2FA1677A">
            <wp:simplePos x="0" y="0"/>
            <wp:positionH relativeFrom="margin">
              <wp:posOffset>-107413</wp:posOffset>
            </wp:positionH>
            <wp:positionV relativeFrom="paragraph">
              <wp:posOffset>519723</wp:posOffset>
            </wp:positionV>
            <wp:extent cx="6109335" cy="3435985"/>
            <wp:effectExtent l="0" t="0" r="5715" b="0"/>
            <wp:wrapTopAndBottom/>
            <wp:docPr id="5101163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116383"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09335" cy="3435985"/>
                    </a:xfrm>
                    <a:prstGeom prst="rect">
                      <a:avLst/>
                    </a:prstGeom>
                  </pic:spPr>
                </pic:pic>
              </a:graphicData>
            </a:graphic>
            <wp14:sizeRelH relativeFrom="margin">
              <wp14:pctWidth>0</wp14:pctWidth>
            </wp14:sizeRelH>
            <wp14:sizeRelV relativeFrom="margin">
              <wp14:pctHeight>0</wp14:pctHeight>
            </wp14:sizeRelV>
          </wp:anchor>
        </w:drawing>
      </w:r>
      <w:r w:rsidR="00231830" w:rsidRPr="00EC14B6">
        <w:rPr>
          <w:b/>
          <w:bCs w:val="0"/>
          <w:color w:val="FF0000"/>
        </w:rPr>
        <w:t>FOR IMMEDIATE RELEASE</w:t>
      </w:r>
    </w:p>
    <w:p w14:paraId="5AD0056D" w14:textId="7F207B8B" w:rsidR="00DC0079" w:rsidRPr="00DC0079" w:rsidRDefault="008B7AFA" w:rsidP="002F3F7C">
      <w:pPr>
        <w:jc w:val="center"/>
        <w:rPr>
          <w:b/>
          <w:sz w:val="26"/>
          <w:szCs w:val="26"/>
        </w:rPr>
      </w:pPr>
      <w:r>
        <w:rPr>
          <w:b/>
          <w:sz w:val="26"/>
          <w:szCs w:val="26"/>
        </w:rPr>
        <w:t xml:space="preserve">Global interactive tech leader </w:t>
      </w:r>
      <w:proofErr w:type="spellStart"/>
      <w:r>
        <w:rPr>
          <w:b/>
          <w:sz w:val="26"/>
          <w:szCs w:val="26"/>
        </w:rPr>
        <w:t>Alterface</w:t>
      </w:r>
      <w:proofErr w:type="spellEnd"/>
      <w:r>
        <w:rPr>
          <w:b/>
          <w:sz w:val="26"/>
          <w:szCs w:val="26"/>
        </w:rPr>
        <w:t xml:space="preserve"> opens new frontiers</w:t>
      </w:r>
      <w:r>
        <w:rPr>
          <w:b/>
          <w:sz w:val="26"/>
          <w:szCs w:val="26"/>
        </w:rPr>
        <w:br/>
      </w:r>
      <w:r>
        <w:rPr>
          <w:b/>
          <w:sz w:val="26"/>
          <w:szCs w:val="26"/>
        </w:rPr>
        <w:t>of experience design at IAAPA Expo 2024</w:t>
      </w:r>
      <w:r>
        <w:rPr>
          <w:b/>
          <w:sz w:val="26"/>
          <w:szCs w:val="26"/>
        </w:rPr>
        <w:br/>
      </w:r>
      <w:r w:rsidRPr="00DC0079">
        <w:rPr>
          <w:i/>
          <w:color w:val="FF0000"/>
        </w:rPr>
        <w:t>New service packages support clients in crafting innovative interactive experiences</w:t>
      </w:r>
    </w:p>
    <w:p w14:paraId="7D3900A1" w14:textId="533C57B3" w:rsidR="00DC0079" w:rsidRDefault="00DC0079" w:rsidP="00DC0079">
      <w:r>
        <w:rPr>
          <w:b/>
          <w:bCs w:val="0"/>
          <w:color w:val="1E384B"/>
          <w:sz w:val="22"/>
          <w:szCs w:val="22"/>
          <w:lang w:val="en-GB"/>
        </w:rPr>
        <w:t>Orlando</w:t>
      </w:r>
      <w:r w:rsidR="00E519E5" w:rsidRPr="00096C51">
        <w:rPr>
          <w:b/>
          <w:bCs w:val="0"/>
          <w:color w:val="1E384B"/>
          <w:sz w:val="22"/>
          <w:szCs w:val="22"/>
          <w:lang w:val="en-GB"/>
        </w:rPr>
        <w:t xml:space="preserve">, </w:t>
      </w:r>
      <w:r>
        <w:rPr>
          <w:b/>
          <w:bCs w:val="0"/>
          <w:color w:val="1E384B"/>
          <w:sz w:val="22"/>
          <w:szCs w:val="22"/>
          <w:lang w:val="en-GB"/>
        </w:rPr>
        <w:t>November 21</w:t>
      </w:r>
      <w:r w:rsidR="00E519E5" w:rsidRPr="00096C51">
        <w:rPr>
          <w:b/>
          <w:bCs w:val="0"/>
          <w:color w:val="1E384B"/>
          <w:sz w:val="22"/>
          <w:szCs w:val="22"/>
          <w:lang w:val="en-GB"/>
        </w:rPr>
        <w:t>, 2024</w:t>
      </w:r>
      <w:r w:rsidR="00E519E5" w:rsidRPr="00096C51">
        <w:rPr>
          <w:color w:val="1E384B"/>
          <w:sz w:val="22"/>
          <w:szCs w:val="22"/>
          <w:lang w:val="en-GB"/>
        </w:rPr>
        <w:t xml:space="preserve"> - </w:t>
      </w:r>
      <w:r>
        <w:t xml:space="preserve">“With the introduction of our new service packages at IAAPA Expo 2024, </w:t>
      </w:r>
      <w:proofErr w:type="spellStart"/>
      <w:r>
        <w:t>Alterface</w:t>
      </w:r>
      <w:proofErr w:type="spellEnd"/>
      <w:r>
        <w:t xml:space="preserve"> is bringing the power to engage guests with interactive technology,</w:t>
      </w:r>
      <w:r>
        <w:rPr>
          <w:highlight w:val="white"/>
        </w:rPr>
        <w:t xml:space="preserve"> cutting-edge experience design</w:t>
      </w:r>
      <w:r>
        <w:t xml:space="preserve"> and immersive storytelling within the reach of more operators, producers and creatives,” says </w:t>
      </w:r>
      <w:proofErr w:type="spellStart"/>
      <w:r>
        <w:t>Alterface</w:t>
      </w:r>
      <w:proofErr w:type="spellEnd"/>
      <w:r>
        <w:t xml:space="preserve"> CEO Stéphane </w:t>
      </w:r>
      <w:proofErr w:type="spellStart"/>
      <w:r>
        <w:t>Battaille</w:t>
      </w:r>
      <w:proofErr w:type="spellEnd"/>
      <w:r>
        <w:t xml:space="preserve">. </w:t>
      </w:r>
    </w:p>
    <w:p w14:paraId="5EC0B3AB" w14:textId="1B19DA18" w:rsidR="00DC0079" w:rsidRDefault="00DC0079" w:rsidP="00DC0079">
      <w:proofErr w:type="spellStart"/>
      <w:r>
        <w:t>Alterface</w:t>
      </w:r>
      <w:proofErr w:type="spellEnd"/>
      <w:r>
        <w:t>, a global leader in interactive experiences and immersive entertainment serving the attractions industry for two decades, is exhibiting its new offerings at IAAPA Expo in booth #</w:t>
      </w:r>
      <w:r>
        <w:rPr>
          <w:color w:val="222222"/>
          <w:highlight w:val="white"/>
        </w:rPr>
        <w:t xml:space="preserve">1083. The booth, nicknamed </w:t>
      </w:r>
      <w:proofErr w:type="spellStart"/>
      <w:r>
        <w:rPr>
          <w:color w:val="222222"/>
          <w:highlight w:val="white"/>
        </w:rPr>
        <w:t>Alterface’s</w:t>
      </w:r>
      <w:proofErr w:type="spellEnd"/>
      <w:r>
        <w:rPr>
          <w:color w:val="222222"/>
          <w:highlight w:val="white"/>
        </w:rPr>
        <w:t xml:space="preserve"> Imagination Playground, offers a series of demos highlighting </w:t>
      </w:r>
      <w:proofErr w:type="spellStart"/>
      <w:r>
        <w:rPr>
          <w:color w:val="222222"/>
          <w:highlight w:val="white"/>
        </w:rPr>
        <w:t>Alterface’s</w:t>
      </w:r>
      <w:proofErr w:type="spellEnd"/>
      <w:r>
        <w:rPr>
          <w:color w:val="222222"/>
          <w:highlight w:val="white"/>
        </w:rPr>
        <w:t xml:space="preserve"> constant innovation and commitment to client collaboration while showcasing their new, versatile service packages.</w:t>
      </w:r>
    </w:p>
    <w:p w14:paraId="65EB3FA6" w14:textId="6CE56B84" w:rsidR="00DC0079" w:rsidRDefault="00DC0079" w:rsidP="00DC0079">
      <w:pPr>
        <w:widowControl w:val="0"/>
        <w:spacing w:line="240" w:lineRule="auto"/>
      </w:pPr>
      <w:r>
        <w:t xml:space="preserve">Designed to help integrate the company’s latest technology and tools for immersive experiences, dark rides and walkthroughs, </w:t>
      </w:r>
      <w:proofErr w:type="spellStart"/>
      <w:r>
        <w:t>Alterface’s</w:t>
      </w:r>
      <w:proofErr w:type="spellEnd"/>
      <w:r>
        <w:t xml:space="preserve"> new service packages provide options to support the experience design process from concept to completion and beyond. </w:t>
      </w:r>
    </w:p>
    <w:p w14:paraId="46C83889" w14:textId="10FB7DE8" w:rsidR="00DC0079" w:rsidRDefault="00DC0079" w:rsidP="00DC0079">
      <w:pPr>
        <w:widowControl w:val="0"/>
        <w:spacing w:line="240" w:lineRule="auto"/>
        <w:rPr>
          <w:b/>
        </w:rPr>
      </w:pPr>
      <w:r>
        <w:rPr>
          <w:b/>
        </w:rPr>
        <w:t>New service packages enhance client collaboration</w:t>
      </w:r>
    </w:p>
    <w:p w14:paraId="158A1A9E" w14:textId="025BA5FD" w:rsidR="00DC0079" w:rsidRDefault="00DC0079" w:rsidP="00DC0079">
      <w:pPr>
        <w:widowControl w:val="0"/>
        <w:spacing w:line="240" w:lineRule="auto"/>
      </w:pPr>
      <w:r>
        <w:t xml:space="preserve">Customizable options in the realm of gameplay design, prototyping, technical support, and ongoing maintenance help ensure clients can select the right </w:t>
      </w:r>
      <w:proofErr w:type="spellStart"/>
      <w:r>
        <w:t>Alterface</w:t>
      </w:r>
      <w:proofErr w:type="spellEnd"/>
      <w:r>
        <w:t xml:space="preserve"> services for their unique projects. “By integrating our services during the design stage, clients can benefit from the company’s holistic approach, developed to ensure seamless </w:t>
      </w:r>
      <w:r>
        <w:lastRenderedPageBreak/>
        <w:t xml:space="preserve">interactivity with the entire experience,” says </w:t>
      </w:r>
      <w:proofErr w:type="spellStart"/>
      <w:r>
        <w:t>Battaille</w:t>
      </w:r>
      <w:proofErr w:type="spellEnd"/>
      <w:r>
        <w:t xml:space="preserve">. </w:t>
      </w:r>
    </w:p>
    <w:p w14:paraId="223D0D70" w14:textId="6DD0E7DB" w:rsidR="00DC0079" w:rsidRDefault="00DC0079" w:rsidP="00DC0079">
      <w:pPr>
        <w:widowControl w:val="0"/>
        <w:spacing w:line="240" w:lineRule="auto"/>
      </w:pPr>
      <w:proofErr w:type="spellStart"/>
      <w:r>
        <w:t>Alterface</w:t>
      </w:r>
      <w:proofErr w:type="spellEnd"/>
      <w:r>
        <w:t xml:space="preserve"> created its new prototyping service to take the guesswork out of attraction design. “We work directly with designers to determine the ideal experience for guests and then develop or modify the perfect technology to achieve that,” says </w:t>
      </w:r>
      <w:proofErr w:type="spellStart"/>
      <w:r>
        <w:t>Battaille</w:t>
      </w:r>
      <w:proofErr w:type="spellEnd"/>
      <w:r>
        <w:t>. Thorough testing, validation and a collaborative, iterative process help ensure the best solutions are implemented.</w:t>
      </w:r>
    </w:p>
    <w:p w14:paraId="7E85493C" w14:textId="7B0444D0" w:rsidR="00DC0079" w:rsidRDefault="00DC0079" w:rsidP="00DC0079">
      <w:pPr>
        <w:widowControl w:val="0"/>
        <w:spacing w:line="240" w:lineRule="auto"/>
      </w:pPr>
      <w:r>
        <w:t xml:space="preserve">For clients just beginning the process of creating an attraction, </w:t>
      </w:r>
      <w:proofErr w:type="spellStart"/>
      <w:r>
        <w:t>Alterface</w:t>
      </w:r>
      <w:proofErr w:type="spellEnd"/>
      <w:r>
        <w:t xml:space="preserve"> offers interactive concept design, integrating interactivity from the very start into the many complex systems and elements. Successful attraction storytelling is built on the flawless connection between many dynamic systems, and </w:t>
      </w:r>
      <w:proofErr w:type="spellStart"/>
      <w:r>
        <w:t>Alterface’s</w:t>
      </w:r>
      <w:proofErr w:type="spellEnd"/>
      <w:r>
        <w:t xml:space="preserve"> concept design services focus on bringing those elements together in a thoughtful and consistent way before a project moves into production.</w:t>
      </w:r>
    </w:p>
    <w:p w14:paraId="692435F0" w14:textId="516A6DD4" w:rsidR="00DC0079" w:rsidRDefault="00DC0079" w:rsidP="00DC0079">
      <w:pPr>
        <w:widowControl w:val="0"/>
        <w:spacing w:line="240" w:lineRule="auto"/>
        <w:rPr>
          <w:b/>
        </w:rPr>
      </w:pPr>
      <w:r>
        <w:rPr>
          <w:b/>
        </w:rPr>
        <w:t>An expanded range of cutting-edge tools</w:t>
      </w:r>
    </w:p>
    <w:p w14:paraId="0F193FD0" w14:textId="7B2F26E8" w:rsidR="00DC0079" w:rsidRDefault="00DC0079" w:rsidP="00DC0079">
      <w:pPr>
        <w:widowControl w:val="0"/>
        <w:spacing w:line="240" w:lineRule="auto"/>
      </w:pPr>
      <w:r>
        <w:t xml:space="preserve">These new service options are supported by several advanced tools designed to make creating and operating an interactive attraction even easier. “We’re continually expanding the range of tools available and honing our proven technology for ever greater efficiency and next-generation experiences,” says </w:t>
      </w:r>
      <w:proofErr w:type="spellStart"/>
      <w:r>
        <w:t>Battaille</w:t>
      </w:r>
      <w:proofErr w:type="spellEnd"/>
      <w:r>
        <w:t xml:space="preserve">. “This is why </w:t>
      </w:r>
      <w:proofErr w:type="spellStart"/>
      <w:r>
        <w:t>Alterface</w:t>
      </w:r>
      <w:proofErr w:type="spellEnd"/>
      <w:r>
        <w:t xml:space="preserve"> continues to be a reliable choice for interactive technology solutions.”</w:t>
      </w:r>
    </w:p>
    <w:p w14:paraId="7C766AEA" w14:textId="598D82D1" w:rsidR="00DC0079" w:rsidRDefault="00DC0079" w:rsidP="00DC0079">
      <w:pPr>
        <w:widowControl w:val="0"/>
        <w:spacing w:line="240" w:lineRule="auto"/>
      </w:pPr>
      <w:r>
        <w:t xml:space="preserve">Among </w:t>
      </w:r>
      <w:proofErr w:type="spellStart"/>
      <w:r>
        <w:t>Alterface’s</w:t>
      </w:r>
      <w:proofErr w:type="spellEnd"/>
      <w:r>
        <w:t xml:space="preserve"> latest tools are the</w:t>
      </w:r>
      <w:r>
        <w:rPr>
          <w:b/>
        </w:rPr>
        <w:t xml:space="preserve"> </w:t>
      </w:r>
      <w:proofErr w:type="spellStart"/>
      <w:r>
        <w:rPr>
          <w:b/>
        </w:rPr>
        <w:t>CartBox</w:t>
      </w:r>
      <w:proofErr w:type="spellEnd"/>
      <w:r>
        <w:rPr>
          <w:b/>
        </w:rPr>
        <w:t xml:space="preserve"> system </w:t>
      </w:r>
      <w:r>
        <w:t>which</w:t>
      </w:r>
      <w:r>
        <w:rPr>
          <w:b/>
        </w:rPr>
        <w:t xml:space="preserve"> </w:t>
      </w:r>
      <w:r>
        <w:t xml:space="preserve">offers an onboard controller for ride vehicles that supports an infinite array of interactive devices as well as audio feedback systems, creating highly customizable and synchronized soundscapes. </w:t>
      </w:r>
    </w:p>
    <w:p w14:paraId="5760C667" w14:textId="37FBFFB5" w:rsidR="00DC0079" w:rsidRPr="00DC0079" w:rsidRDefault="00DC0079" w:rsidP="00DC0079">
      <w:pPr>
        <w:widowControl w:val="0"/>
        <w:spacing w:line="240" w:lineRule="auto"/>
        <w:rPr>
          <w:u w:val="single"/>
        </w:rPr>
      </w:pPr>
      <w:r>
        <w:t xml:space="preserve">The </w:t>
      </w:r>
      <w:proofErr w:type="spellStart"/>
      <w:r>
        <w:rPr>
          <w:b/>
        </w:rPr>
        <w:t>GunBox</w:t>
      </w:r>
      <w:proofErr w:type="spellEnd"/>
      <w:r>
        <w:rPr>
          <w:b/>
        </w:rPr>
        <w:t xml:space="preserve"> system </w:t>
      </w:r>
      <w:r>
        <w:t xml:space="preserve">streamlines maintenance and calibration, allowing operators to test and adjust interactive systems with efficiency and ease, even during operational hours. Additionally, </w:t>
      </w:r>
      <w:proofErr w:type="spellStart"/>
      <w:r>
        <w:t>Alterface’s</w:t>
      </w:r>
      <w:proofErr w:type="spellEnd"/>
      <w:r>
        <w:t xml:space="preserve"> technical backbone has been upgraded with </w:t>
      </w:r>
      <w:r>
        <w:rPr>
          <w:b/>
        </w:rPr>
        <w:t>virtual machine</w:t>
      </w:r>
      <w:r>
        <w:t xml:space="preserve"> technology, improving system efficiency while providing additional redundancy and superior reliability, resulting in minimized costs and a more sustainable environmental impact.</w:t>
      </w:r>
      <w:r>
        <w:rPr>
          <w:u w:val="single"/>
        </w:rPr>
        <w:t xml:space="preserve"> </w:t>
      </w:r>
    </w:p>
    <w:p w14:paraId="706AB8FB" w14:textId="7C03C726" w:rsidR="00DC0079" w:rsidRDefault="00DC0079" w:rsidP="00DC0079">
      <w:pPr>
        <w:widowControl w:val="0"/>
        <w:spacing w:line="240" w:lineRule="auto"/>
        <w:rPr>
          <w:b/>
        </w:rPr>
      </w:pPr>
      <w:r>
        <w:rPr>
          <w:b/>
        </w:rPr>
        <w:t>Interactive at the core</w:t>
      </w:r>
    </w:p>
    <w:p w14:paraId="519534FF" w14:textId="6540A4EB" w:rsidR="00DC0079" w:rsidRDefault="00DC0079" w:rsidP="00DC0079">
      <w:pPr>
        <w:widowControl w:val="0"/>
        <w:spacing w:line="240" w:lineRule="auto"/>
      </w:pPr>
      <w:r>
        <w:t xml:space="preserve">These offerings reflect the </w:t>
      </w:r>
      <w:proofErr w:type="spellStart"/>
      <w:r>
        <w:t>Alterface</w:t>
      </w:r>
      <w:proofErr w:type="spellEnd"/>
      <w:r>
        <w:t xml:space="preserve"> dedication to collaboration and co-creation, and its continuous investment in innovation and R&amp;D, all with the core goal of authentic, engaging and interactive guest experiences that resonate with audiences. </w:t>
      </w:r>
    </w:p>
    <w:p w14:paraId="11A168FD" w14:textId="1C0F115D" w:rsidR="00DC0079" w:rsidRDefault="00DC0079" w:rsidP="00DC0079">
      <w:pPr>
        <w:widowControl w:val="0"/>
        <w:spacing w:line="240" w:lineRule="auto"/>
      </w:pPr>
      <w:r>
        <w:t xml:space="preserve">“At </w:t>
      </w:r>
      <w:proofErr w:type="spellStart"/>
      <w:r>
        <w:t>Alterface</w:t>
      </w:r>
      <w:proofErr w:type="spellEnd"/>
      <w:r>
        <w:t xml:space="preserve">, interactivity isn’t an add-on - it’s the core of the experience. Interactivity actively engages guests and immerses them in the story. Our goal is to ensure that interactivity is seamlessly integrated across all elements from the very beginning of the project,” says </w:t>
      </w:r>
      <w:proofErr w:type="spellStart"/>
      <w:r>
        <w:t>Battaille</w:t>
      </w:r>
      <w:proofErr w:type="spellEnd"/>
      <w:r>
        <w:t xml:space="preserve">. “We believe our approach opens up exciting new possibilities for the industry and represents an unprecedented, new level of service. The potential applications are vast, and we’re eager to collaborate with visionary clients to bring these concepts to life.” </w:t>
      </w:r>
    </w:p>
    <w:p w14:paraId="419066E5" w14:textId="77777777" w:rsidR="0035751A" w:rsidRDefault="0035751A" w:rsidP="00DC0079">
      <w:pPr>
        <w:widowControl w:val="0"/>
        <w:spacing w:line="240" w:lineRule="auto"/>
      </w:pPr>
    </w:p>
    <w:p w14:paraId="2C298F1B" w14:textId="77777777" w:rsidR="0035751A" w:rsidRDefault="0035751A" w:rsidP="00DC0079">
      <w:pPr>
        <w:widowControl w:val="0"/>
        <w:spacing w:line="240" w:lineRule="auto"/>
      </w:pPr>
    </w:p>
    <w:p w14:paraId="7A61F92D" w14:textId="77777777" w:rsidR="0035751A" w:rsidRDefault="0035751A" w:rsidP="00DC0079">
      <w:pPr>
        <w:widowControl w:val="0"/>
        <w:spacing w:line="240" w:lineRule="auto"/>
      </w:pPr>
    </w:p>
    <w:p w14:paraId="05F4895D" w14:textId="19FEB0C0" w:rsidR="004047E0" w:rsidRPr="004047E0" w:rsidRDefault="002C1D73" w:rsidP="00DC0079">
      <w:pPr>
        <w:spacing w:line="360" w:lineRule="auto"/>
        <w:rPr>
          <w:sz w:val="20"/>
          <w:szCs w:val="20"/>
          <w:highlight w:val="white"/>
        </w:rPr>
      </w:pPr>
      <w:r>
        <w:rPr>
          <w:b/>
          <w:sz w:val="20"/>
          <w:szCs w:val="20"/>
          <w:highlight w:val="white"/>
        </w:rPr>
        <w:lastRenderedPageBreak/>
        <w:t xml:space="preserve">About </w:t>
      </w:r>
      <w:proofErr w:type="spellStart"/>
      <w:r>
        <w:rPr>
          <w:b/>
          <w:sz w:val="20"/>
          <w:szCs w:val="20"/>
          <w:highlight w:val="white"/>
        </w:rPr>
        <w:t>Alterface</w:t>
      </w:r>
      <w:proofErr w:type="spellEnd"/>
      <w:r w:rsidR="004047E0" w:rsidRPr="004047E0">
        <w:rPr>
          <w:sz w:val="20"/>
          <w:szCs w:val="20"/>
          <w:highlight w:val="white"/>
        </w:rPr>
        <w:t>:</w:t>
      </w:r>
      <w:r>
        <w:rPr>
          <w:sz w:val="20"/>
          <w:szCs w:val="20"/>
          <w:highlight w:val="white"/>
        </w:rPr>
        <w:br/>
      </w:r>
      <w:r w:rsidR="004047E0" w:rsidRPr="004047E0">
        <w:rPr>
          <w:sz w:val="20"/>
          <w:szCs w:val="20"/>
          <w:highlight w:val="white"/>
        </w:rPr>
        <w:t xml:space="preserve">Founded in 2001 as a spin-off of the University of Louvain-la-Neuve (UCL), </w:t>
      </w:r>
      <w:proofErr w:type="spellStart"/>
      <w:r w:rsidR="004047E0" w:rsidRPr="004047E0">
        <w:rPr>
          <w:sz w:val="20"/>
          <w:szCs w:val="20"/>
          <w:highlight w:val="white"/>
        </w:rPr>
        <w:t>Alterface</w:t>
      </w:r>
      <w:proofErr w:type="spellEnd"/>
      <w:r w:rsidR="004047E0" w:rsidRPr="004047E0">
        <w:rPr>
          <w:sz w:val="20"/>
          <w:szCs w:val="20"/>
          <w:highlight w:val="white"/>
        </w:rPr>
        <w:t xml:space="preserve"> provides both technology and turnkey solutions for the interactive attractions industry.</w:t>
      </w:r>
      <w:r w:rsidR="004047E0" w:rsidRPr="004047E0">
        <w:rPr>
          <w:sz w:val="20"/>
          <w:szCs w:val="20"/>
        </w:rPr>
        <w:t xml:space="preserve"> </w:t>
      </w:r>
      <w:r w:rsidR="004047E0" w:rsidRPr="004047E0">
        <w:rPr>
          <w:sz w:val="20"/>
          <w:szCs w:val="20"/>
          <w:highlight w:val="white"/>
        </w:rPr>
        <w:t xml:space="preserve">Their technology and one-stop turnkey solutions for media-based interactive dark rides and attractions in theme parks have made </w:t>
      </w:r>
      <w:proofErr w:type="spellStart"/>
      <w:r w:rsidR="004047E0" w:rsidRPr="004047E0">
        <w:rPr>
          <w:sz w:val="20"/>
          <w:szCs w:val="20"/>
          <w:highlight w:val="white"/>
        </w:rPr>
        <w:t>Alterface</w:t>
      </w:r>
      <w:proofErr w:type="spellEnd"/>
      <w:r w:rsidR="004047E0" w:rsidRPr="004047E0">
        <w:rPr>
          <w:sz w:val="20"/>
          <w:szCs w:val="20"/>
          <w:highlight w:val="white"/>
        </w:rPr>
        <w:t xml:space="preserve"> a worldwide market leader. They offer a unique combination of technical specialists and creative talents working relentlessly together to create never seen before guest’s experiences.</w:t>
      </w:r>
    </w:p>
    <w:p w14:paraId="5C065BF1" w14:textId="77777777" w:rsidR="002C1D73" w:rsidRDefault="004047E0" w:rsidP="004047E0">
      <w:pPr>
        <w:rPr>
          <w:sz w:val="20"/>
          <w:szCs w:val="20"/>
          <w:highlight w:val="white"/>
        </w:rPr>
      </w:pPr>
      <w:r w:rsidRPr="004047E0">
        <w:rPr>
          <w:sz w:val="20"/>
          <w:szCs w:val="20"/>
          <w:highlight w:val="white"/>
        </w:rPr>
        <w:t xml:space="preserve">Visitors can enjoy </w:t>
      </w:r>
      <w:proofErr w:type="spellStart"/>
      <w:r w:rsidRPr="004047E0">
        <w:rPr>
          <w:sz w:val="20"/>
          <w:szCs w:val="20"/>
          <w:highlight w:val="white"/>
        </w:rPr>
        <w:t>Alterface</w:t>
      </w:r>
      <w:proofErr w:type="spellEnd"/>
      <w:r w:rsidRPr="004047E0">
        <w:rPr>
          <w:sz w:val="20"/>
          <w:szCs w:val="20"/>
          <w:highlight w:val="white"/>
        </w:rPr>
        <w:t xml:space="preserve"> rides at </w:t>
      </w:r>
      <w:proofErr w:type="spellStart"/>
      <w:r w:rsidRPr="004047E0">
        <w:rPr>
          <w:sz w:val="20"/>
          <w:szCs w:val="20"/>
          <w:highlight w:val="white"/>
        </w:rPr>
        <w:t>PortAventura</w:t>
      </w:r>
      <w:proofErr w:type="spellEnd"/>
      <w:r w:rsidRPr="004047E0">
        <w:rPr>
          <w:sz w:val="20"/>
          <w:szCs w:val="20"/>
          <w:highlight w:val="white"/>
        </w:rPr>
        <w:t xml:space="preserve"> World, Hersheypark, Warner Bros. World, Six Flags, </w:t>
      </w:r>
      <w:proofErr w:type="spellStart"/>
      <w:r w:rsidRPr="004047E0">
        <w:rPr>
          <w:sz w:val="20"/>
          <w:szCs w:val="20"/>
          <w:highlight w:val="white"/>
        </w:rPr>
        <w:t>Walibi</w:t>
      </w:r>
      <w:proofErr w:type="spellEnd"/>
      <w:r w:rsidRPr="004047E0">
        <w:rPr>
          <w:sz w:val="20"/>
          <w:szCs w:val="20"/>
          <w:highlight w:val="white"/>
        </w:rPr>
        <w:t xml:space="preserve"> Belgium, </w:t>
      </w:r>
      <w:proofErr w:type="spellStart"/>
      <w:r w:rsidRPr="004047E0">
        <w:rPr>
          <w:sz w:val="20"/>
          <w:szCs w:val="20"/>
          <w:highlight w:val="white"/>
        </w:rPr>
        <w:t>Legendia</w:t>
      </w:r>
      <w:proofErr w:type="spellEnd"/>
      <w:r w:rsidRPr="004047E0">
        <w:rPr>
          <w:sz w:val="20"/>
          <w:szCs w:val="20"/>
          <w:highlight w:val="white"/>
        </w:rPr>
        <w:t xml:space="preserve">, Qingdao Wanda, Jardin </w:t>
      </w:r>
      <w:proofErr w:type="spellStart"/>
      <w:r w:rsidRPr="004047E0">
        <w:rPr>
          <w:sz w:val="20"/>
          <w:szCs w:val="20"/>
          <w:highlight w:val="white"/>
        </w:rPr>
        <w:t>d’Acclimatation</w:t>
      </w:r>
      <w:proofErr w:type="spellEnd"/>
      <w:r w:rsidRPr="004047E0">
        <w:rPr>
          <w:sz w:val="20"/>
          <w:szCs w:val="20"/>
          <w:highlight w:val="white"/>
        </w:rPr>
        <w:t xml:space="preserve">, </w:t>
      </w:r>
      <w:proofErr w:type="spellStart"/>
      <w:r w:rsidRPr="004047E0">
        <w:rPr>
          <w:sz w:val="20"/>
          <w:szCs w:val="20"/>
          <w:highlight w:val="white"/>
        </w:rPr>
        <w:t>Phantasialand</w:t>
      </w:r>
      <w:proofErr w:type="spellEnd"/>
      <w:r w:rsidRPr="004047E0">
        <w:rPr>
          <w:sz w:val="20"/>
          <w:szCs w:val="20"/>
          <w:highlight w:val="white"/>
        </w:rPr>
        <w:t xml:space="preserve">, LEGO® Discovery Centers, Cedar Fair, Carowinds, Ferrari World, IMG, Lotte World, </w:t>
      </w:r>
      <w:proofErr w:type="spellStart"/>
      <w:r w:rsidRPr="004047E0">
        <w:rPr>
          <w:sz w:val="20"/>
          <w:szCs w:val="20"/>
          <w:highlight w:val="white"/>
        </w:rPr>
        <w:t>Yumiyuri</w:t>
      </w:r>
      <w:proofErr w:type="spellEnd"/>
      <w:r w:rsidRPr="004047E0">
        <w:rPr>
          <w:sz w:val="20"/>
          <w:szCs w:val="20"/>
          <w:highlight w:val="white"/>
        </w:rPr>
        <w:t xml:space="preserve"> land, Lost Island and many more.</w:t>
      </w:r>
      <w:r w:rsidR="002C1D73">
        <w:rPr>
          <w:sz w:val="20"/>
          <w:szCs w:val="20"/>
          <w:highlight w:val="white"/>
        </w:rPr>
        <w:t xml:space="preserve"> </w:t>
      </w:r>
      <w:r w:rsidRPr="004047E0">
        <w:rPr>
          <w:sz w:val="20"/>
          <w:szCs w:val="20"/>
          <w:highlight w:val="white"/>
        </w:rPr>
        <w:t xml:space="preserve">The company has received several Thea Awards for Outstanding Achievement as well as multiple other industry </w:t>
      </w:r>
      <w:proofErr w:type="spellStart"/>
      <w:r w:rsidRPr="004047E0">
        <w:rPr>
          <w:sz w:val="20"/>
          <w:szCs w:val="20"/>
          <w:highlight w:val="white"/>
        </w:rPr>
        <w:t>honours</w:t>
      </w:r>
      <w:proofErr w:type="spellEnd"/>
      <w:r w:rsidRPr="004047E0">
        <w:rPr>
          <w:sz w:val="20"/>
          <w:szCs w:val="20"/>
          <w:highlight w:val="white"/>
        </w:rPr>
        <w:t xml:space="preserve"> including Brass Ring Awards and Park World Excellence Awards.</w:t>
      </w:r>
    </w:p>
    <w:p w14:paraId="6401E0F4" w14:textId="35FA3D17" w:rsidR="00096C51" w:rsidRPr="002C1D73" w:rsidRDefault="004047E0" w:rsidP="004047E0">
      <w:pPr>
        <w:rPr>
          <w:rStyle w:val="Hyperlink"/>
          <w:sz w:val="20"/>
          <w:szCs w:val="20"/>
          <w:highlight w:val="white"/>
          <w:u w:val="none"/>
        </w:rPr>
      </w:pPr>
      <w:r w:rsidRPr="004047E0">
        <w:rPr>
          <w:sz w:val="20"/>
          <w:szCs w:val="20"/>
          <w:highlight w:val="white"/>
        </w:rPr>
        <w:t xml:space="preserve">More: </w:t>
      </w:r>
      <w:hyperlink r:id="rId7" w:history="1">
        <w:r w:rsidRPr="004047E0">
          <w:rPr>
            <w:rStyle w:val="Hyperlink"/>
            <w:sz w:val="20"/>
            <w:szCs w:val="20"/>
            <w:highlight w:val="white"/>
          </w:rPr>
          <w:t>www.alterface.com</w:t>
        </w:r>
      </w:hyperlink>
    </w:p>
    <w:p w14:paraId="0907EEF5" w14:textId="77777777" w:rsidR="004047E0" w:rsidRPr="004047E0" w:rsidRDefault="004047E0" w:rsidP="004047E0">
      <w:pPr>
        <w:rPr>
          <w:sz w:val="20"/>
          <w:szCs w:val="20"/>
          <w:highlight w:val="white"/>
        </w:rPr>
      </w:pPr>
    </w:p>
    <w:p w14:paraId="01152648" w14:textId="77777777" w:rsidR="004047E0" w:rsidRDefault="006F3E99" w:rsidP="006F3E99">
      <w:pPr>
        <w:spacing w:line="240" w:lineRule="auto"/>
        <w:rPr>
          <w:color w:val="1E384B"/>
        </w:rPr>
      </w:pPr>
      <w:r w:rsidRPr="00EC14B6">
        <w:rPr>
          <w:color w:val="1E384B"/>
        </w:rPr>
        <w:t>Contact:</w:t>
      </w:r>
    </w:p>
    <w:p w14:paraId="3A77E8B3" w14:textId="2CA0E22B" w:rsidR="006F3E99" w:rsidRPr="00EC14B6" w:rsidRDefault="006F3E99" w:rsidP="006F3E99">
      <w:pPr>
        <w:spacing w:line="240" w:lineRule="auto"/>
        <w:rPr>
          <w:color w:val="1E384B"/>
          <w:sz w:val="20"/>
          <w:szCs w:val="20"/>
        </w:rPr>
      </w:pPr>
      <w:r w:rsidRPr="004047E0">
        <w:rPr>
          <w:color w:val="1E384B"/>
          <w:sz w:val="20"/>
          <w:szCs w:val="20"/>
        </w:rPr>
        <w:t>Giulia Florian</w:t>
      </w:r>
      <w:r w:rsidR="004047E0">
        <w:rPr>
          <w:color w:val="1E384B"/>
          <w:sz w:val="20"/>
          <w:szCs w:val="20"/>
        </w:rPr>
        <w:br/>
      </w:r>
      <w:r w:rsidRPr="00EC14B6">
        <w:rPr>
          <w:color w:val="1E384B"/>
          <w:sz w:val="20"/>
          <w:szCs w:val="20"/>
        </w:rPr>
        <w:t>Marketing Communication</w:t>
      </w:r>
      <w:r w:rsidR="005170C5">
        <w:rPr>
          <w:color w:val="1E384B"/>
          <w:sz w:val="20"/>
          <w:szCs w:val="20"/>
        </w:rPr>
        <w:t>s</w:t>
      </w:r>
      <w:r w:rsidRPr="00EC14B6">
        <w:rPr>
          <w:color w:val="1E384B"/>
          <w:sz w:val="20"/>
          <w:szCs w:val="20"/>
        </w:rPr>
        <w:t xml:space="preserve"> Manager</w:t>
      </w:r>
      <w:r w:rsidRPr="00EC14B6">
        <w:rPr>
          <w:color w:val="1E384B"/>
          <w:sz w:val="20"/>
          <w:szCs w:val="20"/>
        </w:rPr>
        <w:br/>
      </w:r>
      <w:hyperlink r:id="rId8" w:history="1">
        <w:r w:rsidRPr="00EC14B6">
          <w:rPr>
            <w:rStyle w:val="Hyperlink"/>
            <w:color w:val="1E384B"/>
            <w:sz w:val="20"/>
            <w:szCs w:val="20"/>
            <w:highlight w:val="white"/>
          </w:rPr>
          <w:t>+32 483 09 98 80</w:t>
        </w:r>
      </w:hyperlink>
      <w:r w:rsidRPr="00EC14B6">
        <w:rPr>
          <w:color w:val="1E384B"/>
          <w:sz w:val="20"/>
          <w:szCs w:val="20"/>
          <w:highlight w:val="white"/>
        </w:rPr>
        <w:t xml:space="preserve">   </w:t>
      </w:r>
      <w:r w:rsidRPr="00EC14B6">
        <w:rPr>
          <w:color w:val="1E384B"/>
          <w:sz w:val="20"/>
          <w:szCs w:val="20"/>
          <w:highlight w:val="white"/>
        </w:rPr>
        <w:br/>
        <w:t>giulia.florian@alterface.com</w:t>
      </w:r>
    </w:p>
    <w:p w14:paraId="2D79E80B" w14:textId="77777777" w:rsidR="006F3E99" w:rsidRPr="006F3E99" w:rsidRDefault="006F3E99" w:rsidP="00E45D18">
      <w:pPr>
        <w:rPr>
          <w:rStyle w:val="Hyperlink"/>
          <w:u w:val="none"/>
        </w:rPr>
      </w:pPr>
    </w:p>
    <w:sectPr w:rsidR="006F3E99" w:rsidRPr="006F3E99" w:rsidSect="00605558">
      <w:headerReference w:type="default" r:id="rId9"/>
      <w:pgSz w:w="11900" w:h="16840"/>
      <w:pgMar w:top="1355" w:right="1361" w:bottom="459"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A645E" w14:textId="77777777" w:rsidR="00413AA2" w:rsidRDefault="00413AA2" w:rsidP="00E45D18">
      <w:r>
        <w:separator/>
      </w:r>
    </w:p>
  </w:endnote>
  <w:endnote w:type="continuationSeparator" w:id="0">
    <w:p w14:paraId="4712EC22" w14:textId="77777777" w:rsidR="00413AA2" w:rsidRDefault="00413AA2" w:rsidP="00E4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Star Pro Bold">
    <w:panose1 w:val="02000806030000020004"/>
    <w:charset w:val="00"/>
    <w:family w:val="modern"/>
    <w:notTrueType/>
    <w:pitch w:val="variable"/>
    <w:sig w:usb0="A00002AF" w:usb1="5000204A" w:usb2="00000000" w:usb3="00000000" w:csb0="0000019F" w:csb1="00000000"/>
  </w:font>
  <w:font w:name="T-Star Pro">
    <w:panose1 w:val="02000806030000020004"/>
    <w:charset w:val="00"/>
    <w:family w:val="modern"/>
    <w:notTrueType/>
    <w:pitch w:val="variable"/>
    <w:sig w:usb0="A00002AF" w:usb1="5000204A"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4709E" w14:textId="77777777" w:rsidR="00413AA2" w:rsidRDefault="00413AA2" w:rsidP="00E45D18">
      <w:r>
        <w:separator/>
      </w:r>
    </w:p>
  </w:footnote>
  <w:footnote w:type="continuationSeparator" w:id="0">
    <w:p w14:paraId="6D96D1AE" w14:textId="77777777" w:rsidR="00413AA2" w:rsidRDefault="00413AA2" w:rsidP="00E45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5DB72" w14:textId="77777777" w:rsidR="004A43D3" w:rsidRDefault="006A58A6" w:rsidP="00E45D18">
    <w:pPr>
      <w:pStyle w:val="Header"/>
    </w:pPr>
    <w:r>
      <w:rPr>
        <w:noProof/>
      </w:rPr>
      <w:drawing>
        <wp:anchor distT="0" distB="0" distL="114300" distR="114300" simplePos="0" relativeHeight="251659264" behindDoc="0" locked="0" layoutInCell="1" allowOverlap="1" wp14:anchorId="0B3A575C" wp14:editId="58360CA8">
          <wp:simplePos x="0" y="0"/>
          <wp:positionH relativeFrom="column">
            <wp:posOffset>4267027</wp:posOffset>
          </wp:positionH>
          <wp:positionV relativeFrom="paragraph">
            <wp:posOffset>1270</wp:posOffset>
          </wp:positionV>
          <wp:extent cx="1432791" cy="290688"/>
          <wp:effectExtent l="0" t="0" r="2540" b="190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logo-alterface-integral-RGB-big.png"/>
                  <pic:cNvPicPr/>
                </pic:nvPicPr>
                <pic:blipFill>
                  <a:blip r:embed="rId1">
                    <a:extLst>
                      <a:ext uri="{28A0092B-C50C-407E-A947-70E740481C1C}">
                        <a14:useLocalDpi xmlns:a14="http://schemas.microsoft.com/office/drawing/2010/main" val="0"/>
                      </a:ext>
                    </a:extLst>
                  </a:blip>
                  <a:stretch>
                    <a:fillRect/>
                  </a:stretch>
                </pic:blipFill>
                <pic:spPr>
                  <a:xfrm>
                    <a:off x="0" y="0"/>
                    <a:ext cx="1432791" cy="29068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8A6"/>
    <w:rsid w:val="00002871"/>
    <w:rsid w:val="00007B84"/>
    <w:rsid w:val="0002068D"/>
    <w:rsid w:val="00044071"/>
    <w:rsid w:val="00063F22"/>
    <w:rsid w:val="000676BA"/>
    <w:rsid w:val="00096C51"/>
    <w:rsid w:val="000B14D1"/>
    <w:rsid w:val="000C4E36"/>
    <w:rsid w:val="000D6DBC"/>
    <w:rsid w:val="000E455F"/>
    <w:rsid w:val="000F29FD"/>
    <w:rsid w:val="001069D4"/>
    <w:rsid w:val="001448BC"/>
    <w:rsid w:val="00157A71"/>
    <w:rsid w:val="00160547"/>
    <w:rsid w:val="00194466"/>
    <w:rsid w:val="001A572C"/>
    <w:rsid w:val="001B645F"/>
    <w:rsid w:val="001B7CD9"/>
    <w:rsid w:val="001D6022"/>
    <w:rsid w:val="001F46F1"/>
    <w:rsid w:val="00221BC8"/>
    <w:rsid w:val="00231830"/>
    <w:rsid w:val="00235A5F"/>
    <w:rsid w:val="00250489"/>
    <w:rsid w:val="00290BEB"/>
    <w:rsid w:val="002949AA"/>
    <w:rsid w:val="002C1D73"/>
    <w:rsid w:val="002C5C73"/>
    <w:rsid w:val="002F3F7C"/>
    <w:rsid w:val="00307FBE"/>
    <w:rsid w:val="0032225D"/>
    <w:rsid w:val="0034082A"/>
    <w:rsid w:val="0034339F"/>
    <w:rsid w:val="0035751A"/>
    <w:rsid w:val="003B0B3E"/>
    <w:rsid w:val="004047E0"/>
    <w:rsid w:val="00413AA2"/>
    <w:rsid w:val="004145BF"/>
    <w:rsid w:val="00451E67"/>
    <w:rsid w:val="004572DC"/>
    <w:rsid w:val="00463B64"/>
    <w:rsid w:val="004931C7"/>
    <w:rsid w:val="00495FC5"/>
    <w:rsid w:val="004A43D3"/>
    <w:rsid w:val="004B371E"/>
    <w:rsid w:val="004C408E"/>
    <w:rsid w:val="004C56DA"/>
    <w:rsid w:val="004D3CE9"/>
    <w:rsid w:val="004D7FE2"/>
    <w:rsid w:val="004F45D9"/>
    <w:rsid w:val="0051537B"/>
    <w:rsid w:val="00515F01"/>
    <w:rsid w:val="005170C5"/>
    <w:rsid w:val="00517362"/>
    <w:rsid w:val="005316B9"/>
    <w:rsid w:val="00537B9C"/>
    <w:rsid w:val="00541780"/>
    <w:rsid w:val="00554CAB"/>
    <w:rsid w:val="0055728E"/>
    <w:rsid w:val="0056247B"/>
    <w:rsid w:val="005A08A2"/>
    <w:rsid w:val="005B2497"/>
    <w:rsid w:val="005C360E"/>
    <w:rsid w:val="005C42BA"/>
    <w:rsid w:val="005D1FA7"/>
    <w:rsid w:val="005D7AD7"/>
    <w:rsid w:val="005E540A"/>
    <w:rsid w:val="00603ABD"/>
    <w:rsid w:val="00604781"/>
    <w:rsid w:val="00605558"/>
    <w:rsid w:val="00616357"/>
    <w:rsid w:val="006729DC"/>
    <w:rsid w:val="006766CC"/>
    <w:rsid w:val="0068100D"/>
    <w:rsid w:val="0069529C"/>
    <w:rsid w:val="0069535F"/>
    <w:rsid w:val="00697F42"/>
    <w:rsid w:val="006A58A6"/>
    <w:rsid w:val="006C09BB"/>
    <w:rsid w:val="006D5BDC"/>
    <w:rsid w:val="006E12BB"/>
    <w:rsid w:val="006E45FD"/>
    <w:rsid w:val="006F2BBE"/>
    <w:rsid w:val="006F3E99"/>
    <w:rsid w:val="006F74BC"/>
    <w:rsid w:val="00745A69"/>
    <w:rsid w:val="00745BD5"/>
    <w:rsid w:val="00753258"/>
    <w:rsid w:val="007619B9"/>
    <w:rsid w:val="00762FF4"/>
    <w:rsid w:val="0077230E"/>
    <w:rsid w:val="00781F87"/>
    <w:rsid w:val="00783B44"/>
    <w:rsid w:val="007C12B3"/>
    <w:rsid w:val="007F27D6"/>
    <w:rsid w:val="008057B2"/>
    <w:rsid w:val="00815F8C"/>
    <w:rsid w:val="008252A8"/>
    <w:rsid w:val="00825B9A"/>
    <w:rsid w:val="00830BBC"/>
    <w:rsid w:val="00846E8C"/>
    <w:rsid w:val="00867A00"/>
    <w:rsid w:val="00890AE0"/>
    <w:rsid w:val="008911E0"/>
    <w:rsid w:val="008B7AFA"/>
    <w:rsid w:val="008C312D"/>
    <w:rsid w:val="008D1114"/>
    <w:rsid w:val="008D21B8"/>
    <w:rsid w:val="008E3A34"/>
    <w:rsid w:val="00900725"/>
    <w:rsid w:val="009066BB"/>
    <w:rsid w:val="00920B0F"/>
    <w:rsid w:val="00922459"/>
    <w:rsid w:val="00925971"/>
    <w:rsid w:val="00995AAC"/>
    <w:rsid w:val="009C2DAD"/>
    <w:rsid w:val="00A134E4"/>
    <w:rsid w:val="00A147E7"/>
    <w:rsid w:val="00A224E9"/>
    <w:rsid w:val="00A46A20"/>
    <w:rsid w:val="00A470ED"/>
    <w:rsid w:val="00A56184"/>
    <w:rsid w:val="00A64C7D"/>
    <w:rsid w:val="00A652FA"/>
    <w:rsid w:val="00A7153C"/>
    <w:rsid w:val="00A75DCD"/>
    <w:rsid w:val="00A7663C"/>
    <w:rsid w:val="00A810F5"/>
    <w:rsid w:val="00A920EE"/>
    <w:rsid w:val="00A93142"/>
    <w:rsid w:val="00AC22C7"/>
    <w:rsid w:val="00AD76A4"/>
    <w:rsid w:val="00AF43C4"/>
    <w:rsid w:val="00B07718"/>
    <w:rsid w:val="00B220F1"/>
    <w:rsid w:val="00B25736"/>
    <w:rsid w:val="00B60E43"/>
    <w:rsid w:val="00B646C4"/>
    <w:rsid w:val="00B676DA"/>
    <w:rsid w:val="00B70414"/>
    <w:rsid w:val="00B905EF"/>
    <w:rsid w:val="00BF2968"/>
    <w:rsid w:val="00BF61BE"/>
    <w:rsid w:val="00C00A35"/>
    <w:rsid w:val="00C21613"/>
    <w:rsid w:val="00C37222"/>
    <w:rsid w:val="00C47F5E"/>
    <w:rsid w:val="00C6297B"/>
    <w:rsid w:val="00C83836"/>
    <w:rsid w:val="00CD10C7"/>
    <w:rsid w:val="00CD41CF"/>
    <w:rsid w:val="00CE2451"/>
    <w:rsid w:val="00CE53AA"/>
    <w:rsid w:val="00CF25F6"/>
    <w:rsid w:val="00CF6AD1"/>
    <w:rsid w:val="00D11B0C"/>
    <w:rsid w:val="00D127AA"/>
    <w:rsid w:val="00D16DC6"/>
    <w:rsid w:val="00D34B5B"/>
    <w:rsid w:val="00D359BA"/>
    <w:rsid w:val="00D40F0D"/>
    <w:rsid w:val="00D41EF7"/>
    <w:rsid w:val="00D4536A"/>
    <w:rsid w:val="00D45E35"/>
    <w:rsid w:val="00D74EF6"/>
    <w:rsid w:val="00D7569A"/>
    <w:rsid w:val="00D75856"/>
    <w:rsid w:val="00D84C36"/>
    <w:rsid w:val="00D85254"/>
    <w:rsid w:val="00D85463"/>
    <w:rsid w:val="00D85E48"/>
    <w:rsid w:val="00D947E3"/>
    <w:rsid w:val="00DA33F8"/>
    <w:rsid w:val="00DC0079"/>
    <w:rsid w:val="00DE195F"/>
    <w:rsid w:val="00DF7C02"/>
    <w:rsid w:val="00E032B3"/>
    <w:rsid w:val="00E239E6"/>
    <w:rsid w:val="00E2547C"/>
    <w:rsid w:val="00E45D18"/>
    <w:rsid w:val="00E50169"/>
    <w:rsid w:val="00E519E5"/>
    <w:rsid w:val="00E51D98"/>
    <w:rsid w:val="00E525FD"/>
    <w:rsid w:val="00E541F4"/>
    <w:rsid w:val="00E7537C"/>
    <w:rsid w:val="00E80A12"/>
    <w:rsid w:val="00E85CB0"/>
    <w:rsid w:val="00E9036D"/>
    <w:rsid w:val="00EA2B83"/>
    <w:rsid w:val="00EB4296"/>
    <w:rsid w:val="00EB6F44"/>
    <w:rsid w:val="00EB7957"/>
    <w:rsid w:val="00EC14B6"/>
    <w:rsid w:val="00ED1070"/>
    <w:rsid w:val="00EF0531"/>
    <w:rsid w:val="00F265D0"/>
    <w:rsid w:val="00F532D6"/>
    <w:rsid w:val="00F55A5E"/>
    <w:rsid w:val="00F74A92"/>
    <w:rsid w:val="00F81648"/>
    <w:rsid w:val="00F8619B"/>
    <w:rsid w:val="00F87057"/>
    <w:rsid w:val="00F92FAB"/>
    <w:rsid w:val="00FB1441"/>
    <w:rsid w:val="00FC6C94"/>
    <w:rsid w:val="00FD63CF"/>
    <w:rsid w:val="00FE4C5C"/>
  </w:rsids>
  <m:mathPr>
    <m:mathFont m:val="Cambria Math"/>
    <m:brkBin m:val="before"/>
    <m:brkBinSub m:val="--"/>
    <m:smallFrac m:val="0"/>
    <m:dispDef/>
    <m:lMargin m:val="0"/>
    <m:rMargin m:val="0"/>
    <m:defJc m:val="centerGroup"/>
    <m:wrapIndent m:val="1440"/>
    <m:intLim m:val="subSup"/>
    <m:naryLim m:val="undOvr"/>
  </m:mathPr>
  <w:themeFontLang w:val="en-B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BEA42"/>
  <w15:chartTrackingRefBased/>
  <w15:docId w15:val="{0CDDE0DB-AED5-A941-8E56-437F8AECC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B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D18"/>
    <w:pPr>
      <w:spacing w:before="240" w:line="276" w:lineRule="auto"/>
    </w:pPr>
    <w:rPr>
      <w:rFonts w:ascii="Arial" w:eastAsia="Times New Roman" w:hAnsi="Arial" w:cs="Arial"/>
      <w:bCs/>
      <w:color w:val="1D384C"/>
      <w:lang w:val="en-US" w:eastAsia="en-US"/>
    </w:rPr>
  </w:style>
  <w:style w:type="paragraph" w:styleId="Heading1">
    <w:name w:val="heading 1"/>
    <w:basedOn w:val="Normal"/>
    <w:next w:val="Normal"/>
    <w:link w:val="Heading1Char"/>
    <w:uiPriority w:val="9"/>
    <w:qFormat/>
    <w:rsid w:val="00E45D18"/>
    <w:pPr>
      <w:outlineLvl w:val="0"/>
    </w:pPr>
    <w:rPr>
      <w:rFonts w:eastAsia="Cambria Math"/>
      <w:b/>
      <w:bCs w:val="0"/>
      <w:sz w:val="32"/>
      <w:szCs w:val="32"/>
      <w:lang w:val="en-GB"/>
    </w:rPr>
  </w:style>
  <w:style w:type="paragraph" w:styleId="Heading2">
    <w:name w:val="heading 2"/>
    <w:basedOn w:val="Normal"/>
    <w:next w:val="Normal"/>
    <w:link w:val="Heading2Char"/>
    <w:uiPriority w:val="9"/>
    <w:unhideWhenUsed/>
    <w:qFormat/>
    <w:rsid w:val="00A652FA"/>
    <w:pPr>
      <w:outlineLvl w:val="1"/>
    </w:pPr>
    <w:rPr>
      <w:b/>
      <w:color w:val="FF4713"/>
      <w:sz w:val="28"/>
      <w:szCs w:val="28"/>
    </w:rPr>
  </w:style>
  <w:style w:type="paragraph" w:styleId="Heading3">
    <w:name w:val="heading 3"/>
    <w:basedOn w:val="Normal"/>
    <w:next w:val="Normal"/>
    <w:link w:val="Heading3Char"/>
    <w:uiPriority w:val="9"/>
    <w:unhideWhenUsed/>
    <w:qFormat/>
    <w:rsid w:val="006A58A6"/>
    <w:pPr>
      <w:outlineLvl w:val="2"/>
    </w:pPr>
    <w:rPr>
      <w:rFonts w:ascii="T-Star Pro Bold" w:hAnsi="T-Star Pro Bold"/>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D18"/>
    <w:rPr>
      <w:rFonts w:ascii="Arial" w:eastAsia="Cambria Math" w:hAnsi="Arial" w:cs="Arial"/>
      <w:b/>
      <w:color w:val="1D384C"/>
      <w:sz w:val="32"/>
      <w:szCs w:val="32"/>
      <w:lang w:val="en-GB" w:eastAsia="en-US"/>
    </w:rPr>
  </w:style>
  <w:style w:type="character" w:customStyle="1" w:styleId="Heading2Char">
    <w:name w:val="Heading 2 Char"/>
    <w:basedOn w:val="DefaultParagraphFont"/>
    <w:link w:val="Heading2"/>
    <w:uiPriority w:val="9"/>
    <w:rsid w:val="00A652FA"/>
    <w:rPr>
      <w:rFonts w:ascii="Arial" w:eastAsia="Times New Roman" w:hAnsi="Arial" w:cs="Arial"/>
      <w:b/>
      <w:noProof/>
      <w:color w:val="FF4713"/>
      <w:sz w:val="28"/>
      <w:szCs w:val="28"/>
      <w:lang w:val="en-US" w:eastAsia="en-US"/>
    </w:rPr>
  </w:style>
  <w:style w:type="character" w:customStyle="1" w:styleId="Heading3Char">
    <w:name w:val="Heading 3 Char"/>
    <w:basedOn w:val="DefaultParagraphFont"/>
    <w:link w:val="Heading3"/>
    <w:uiPriority w:val="9"/>
    <w:rsid w:val="006A58A6"/>
    <w:rPr>
      <w:rFonts w:ascii="T-Star Pro Bold" w:eastAsiaTheme="minorHAnsi" w:hAnsi="T-Star Pro Bold"/>
      <w:b/>
      <w:bCs/>
      <w:noProof/>
      <w:color w:val="1D384C"/>
      <w:lang w:val="en-US" w:eastAsia="en-US"/>
    </w:rPr>
  </w:style>
  <w:style w:type="character" w:customStyle="1" w:styleId="None">
    <w:name w:val="None"/>
    <w:rsid w:val="006A58A6"/>
    <w:rPr>
      <w:lang w:val="nl-NL"/>
    </w:rPr>
  </w:style>
  <w:style w:type="character" w:styleId="Hyperlink">
    <w:name w:val="Hyperlink"/>
    <w:rsid w:val="006A58A6"/>
    <w:rPr>
      <w:u w:val="single"/>
    </w:rPr>
  </w:style>
  <w:style w:type="paragraph" w:styleId="Header">
    <w:name w:val="header"/>
    <w:basedOn w:val="Normal"/>
    <w:link w:val="HeaderChar"/>
    <w:uiPriority w:val="99"/>
    <w:unhideWhenUsed/>
    <w:rsid w:val="006A58A6"/>
    <w:pPr>
      <w:tabs>
        <w:tab w:val="center" w:pos="4680"/>
        <w:tab w:val="right" w:pos="9360"/>
      </w:tabs>
    </w:pPr>
  </w:style>
  <w:style w:type="character" w:customStyle="1" w:styleId="HeaderChar">
    <w:name w:val="Header Char"/>
    <w:basedOn w:val="DefaultParagraphFont"/>
    <w:link w:val="Header"/>
    <w:uiPriority w:val="99"/>
    <w:rsid w:val="006A58A6"/>
    <w:rPr>
      <w:rFonts w:ascii="T-Star Pro" w:eastAsiaTheme="minorHAnsi" w:hAnsi="T-Star Pro"/>
      <w:noProof/>
      <w:color w:val="1D384C"/>
      <w:lang w:val="en-US" w:eastAsia="en-US"/>
    </w:rPr>
  </w:style>
  <w:style w:type="paragraph" w:styleId="Caption">
    <w:name w:val="caption"/>
    <w:basedOn w:val="Normal"/>
    <w:next w:val="Normal"/>
    <w:uiPriority w:val="35"/>
    <w:unhideWhenUsed/>
    <w:qFormat/>
    <w:rsid w:val="006A58A6"/>
    <w:pPr>
      <w:spacing w:after="200" w:line="240" w:lineRule="auto"/>
    </w:pPr>
    <w:rPr>
      <w:i/>
      <w:iCs/>
      <w:color w:val="44546A" w:themeColor="text2"/>
      <w:sz w:val="18"/>
      <w:szCs w:val="18"/>
    </w:rPr>
  </w:style>
  <w:style w:type="paragraph" w:styleId="NormalWeb">
    <w:name w:val="Normal (Web)"/>
    <w:basedOn w:val="Normal"/>
    <w:uiPriority w:val="99"/>
    <w:semiHidden/>
    <w:unhideWhenUsed/>
    <w:rsid w:val="00A470ED"/>
    <w:pPr>
      <w:spacing w:before="100" w:beforeAutospacing="1" w:after="100" w:afterAutospacing="1" w:line="240" w:lineRule="auto"/>
    </w:pPr>
    <w:rPr>
      <w:rFonts w:ascii="Times New Roman" w:hAnsi="Times New Roman" w:cs="Times New Roman"/>
      <w:color w:val="auto"/>
      <w:lang w:val="en-BE" w:eastAsia="zh-CN"/>
    </w:rPr>
  </w:style>
  <w:style w:type="character" w:styleId="CommentReference">
    <w:name w:val="annotation reference"/>
    <w:basedOn w:val="DefaultParagraphFont"/>
    <w:uiPriority w:val="99"/>
    <w:semiHidden/>
    <w:unhideWhenUsed/>
    <w:rsid w:val="007C12B3"/>
    <w:rPr>
      <w:sz w:val="16"/>
      <w:szCs w:val="16"/>
    </w:rPr>
  </w:style>
  <w:style w:type="paragraph" w:styleId="CommentText">
    <w:name w:val="annotation text"/>
    <w:basedOn w:val="Normal"/>
    <w:link w:val="CommentTextChar"/>
    <w:uiPriority w:val="99"/>
    <w:semiHidden/>
    <w:unhideWhenUsed/>
    <w:rsid w:val="007C12B3"/>
    <w:pPr>
      <w:spacing w:line="240" w:lineRule="auto"/>
    </w:pPr>
    <w:rPr>
      <w:sz w:val="20"/>
      <w:szCs w:val="20"/>
    </w:rPr>
  </w:style>
  <w:style w:type="character" w:customStyle="1" w:styleId="CommentTextChar">
    <w:name w:val="Comment Text Char"/>
    <w:basedOn w:val="DefaultParagraphFont"/>
    <w:link w:val="CommentText"/>
    <w:uiPriority w:val="99"/>
    <w:semiHidden/>
    <w:rsid w:val="007C12B3"/>
    <w:rPr>
      <w:rFonts w:ascii="T-Star Pro" w:eastAsiaTheme="minorHAnsi" w:hAnsi="T-Star Pro"/>
      <w:noProof/>
      <w:color w:val="1D384C"/>
      <w:sz w:val="20"/>
      <w:szCs w:val="20"/>
      <w:lang w:val="en-US" w:eastAsia="en-US"/>
    </w:rPr>
  </w:style>
  <w:style w:type="paragraph" w:styleId="CommentSubject">
    <w:name w:val="annotation subject"/>
    <w:basedOn w:val="CommentText"/>
    <w:next w:val="CommentText"/>
    <w:link w:val="CommentSubjectChar"/>
    <w:uiPriority w:val="99"/>
    <w:semiHidden/>
    <w:unhideWhenUsed/>
    <w:rsid w:val="007C12B3"/>
    <w:rPr>
      <w:b/>
      <w:bCs w:val="0"/>
    </w:rPr>
  </w:style>
  <w:style w:type="character" w:customStyle="1" w:styleId="CommentSubjectChar">
    <w:name w:val="Comment Subject Char"/>
    <w:basedOn w:val="CommentTextChar"/>
    <w:link w:val="CommentSubject"/>
    <w:uiPriority w:val="99"/>
    <w:semiHidden/>
    <w:rsid w:val="007C12B3"/>
    <w:rPr>
      <w:rFonts w:ascii="T-Star Pro" w:eastAsiaTheme="minorHAnsi" w:hAnsi="T-Star Pro"/>
      <w:b/>
      <w:bCs/>
      <w:noProof/>
      <w:color w:val="1D384C"/>
      <w:sz w:val="20"/>
      <w:szCs w:val="20"/>
      <w:lang w:val="en-US" w:eastAsia="en-US"/>
    </w:rPr>
  </w:style>
  <w:style w:type="character" w:customStyle="1" w:styleId="apple-tab-span">
    <w:name w:val="apple-tab-span"/>
    <w:basedOn w:val="DefaultParagraphFont"/>
    <w:rsid w:val="00CF6AD1"/>
  </w:style>
  <w:style w:type="character" w:styleId="FollowedHyperlink">
    <w:name w:val="FollowedHyperlink"/>
    <w:basedOn w:val="DefaultParagraphFont"/>
    <w:uiPriority w:val="99"/>
    <w:semiHidden/>
    <w:unhideWhenUsed/>
    <w:rsid w:val="00A7663C"/>
    <w:rPr>
      <w:color w:val="954F72" w:themeColor="followedHyperlink"/>
      <w:u w:val="single"/>
    </w:rPr>
  </w:style>
  <w:style w:type="character" w:styleId="UnresolvedMention">
    <w:name w:val="Unresolved Mention"/>
    <w:basedOn w:val="DefaultParagraphFont"/>
    <w:uiPriority w:val="99"/>
    <w:semiHidden/>
    <w:unhideWhenUsed/>
    <w:rsid w:val="004145BF"/>
    <w:rPr>
      <w:color w:val="605E5C"/>
      <w:shd w:val="clear" w:color="auto" w:fill="E1DFDD"/>
    </w:rPr>
  </w:style>
  <w:style w:type="character" w:styleId="Emphasis">
    <w:name w:val="Emphasis"/>
    <w:basedOn w:val="DefaultParagraphFont"/>
    <w:uiPriority w:val="20"/>
    <w:qFormat/>
    <w:rsid w:val="00A64C7D"/>
    <w:rPr>
      <w:i/>
      <w:iCs/>
    </w:rPr>
  </w:style>
  <w:style w:type="paragraph" w:styleId="Footer">
    <w:name w:val="footer"/>
    <w:basedOn w:val="Normal"/>
    <w:link w:val="FooterChar"/>
    <w:uiPriority w:val="99"/>
    <w:unhideWhenUsed/>
    <w:rsid w:val="005D7AD7"/>
    <w:pPr>
      <w:tabs>
        <w:tab w:val="center" w:pos="4513"/>
        <w:tab w:val="right" w:pos="9026"/>
      </w:tabs>
      <w:spacing w:line="240" w:lineRule="auto"/>
    </w:pPr>
  </w:style>
  <w:style w:type="character" w:customStyle="1" w:styleId="FooterChar">
    <w:name w:val="Footer Char"/>
    <w:basedOn w:val="DefaultParagraphFont"/>
    <w:link w:val="Footer"/>
    <w:uiPriority w:val="99"/>
    <w:rsid w:val="005D7AD7"/>
    <w:rPr>
      <w:rFonts w:ascii="T-Star Pro" w:eastAsiaTheme="minorHAnsi" w:hAnsi="T-Star Pro"/>
      <w:noProof/>
      <w:color w:val="1D384C"/>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7116">
      <w:bodyDiv w:val="1"/>
      <w:marLeft w:val="0"/>
      <w:marRight w:val="0"/>
      <w:marTop w:val="0"/>
      <w:marBottom w:val="0"/>
      <w:divBdr>
        <w:top w:val="none" w:sz="0" w:space="0" w:color="auto"/>
        <w:left w:val="none" w:sz="0" w:space="0" w:color="auto"/>
        <w:bottom w:val="none" w:sz="0" w:space="0" w:color="auto"/>
        <w:right w:val="none" w:sz="0" w:space="0" w:color="auto"/>
      </w:divBdr>
    </w:div>
    <w:div w:id="345789737">
      <w:bodyDiv w:val="1"/>
      <w:marLeft w:val="0"/>
      <w:marRight w:val="0"/>
      <w:marTop w:val="0"/>
      <w:marBottom w:val="0"/>
      <w:divBdr>
        <w:top w:val="none" w:sz="0" w:space="0" w:color="auto"/>
        <w:left w:val="none" w:sz="0" w:space="0" w:color="auto"/>
        <w:bottom w:val="none" w:sz="0" w:space="0" w:color="auto"/>
        <w:right w:val="none" w:sz="0" w:space="0" w:color="auto"/>
      </w:divBdr>
    </w:div>
    <w:div w:id="389235234">
      <w:bodyDiv w:val="1"/>
      <w:marLeft w:val="0"/>
      <w:marRight w:val="0"/>
      <w:marTop w:val="0"/>
      <w:marBottom w:val="0"/>
      <w:divBdr>
        <w:top w:val="none" w:sz="0" w:space="0" w:color="auto"/>
        <w:left w:val="none" w:sz="0" w:space="0" w:color="auto"/>
        <w:bottom w:val="none" w:sz="0" w:space="0" w:color="auto"/>
        <w:right w:val="none" w:sz="0" w:space="0" w:color="auto"/>
      </w:divBdr>
    </w:div>
    <w:div w:id="603731882">
      <w:bodyDiv w:val="1"/>
      <w:marLeft w:val="0"/>
      <w:marRight w:val="0"/>
      <w:marTop w:val="0"/>
      <w:marBottom w:val="0"/>
      <w:divBdr>
        <w:top w:val="none" w:sz="0" w:space="0" w:color="auto"/>
        <w:left w:val="none" w:sz="0" w:space="0" w:color="auto"/>
        <w:bottom w:val="none" w:sz="0" w:space="0" w:color="auto"/>
        <w:right w:val="none" w:sz="0" w:space="0" w:color="auto"/>
      </w:divBdr>
      <w:divsChild>
        <w:div w:id="386613367">
          <w:marLeft w:val="0"/>
          <w:marRight w:val="0"/>
          <w:marTop w:val="0"/>
          <w:marBottom w:val="0"/>
          <w:divBdr>
            <w:top w:val="none" w:sz="0" w:space="0" w:color="auto"/>
            <w:left w:val="none" w:sz="0" w:space="0" w:color="auto"/>
            <w:bottom w:val="none" w:sz="0" w:space="0" w:color="auto"/>
            <w:right w:val="none" w:sz="0" w:space="0" w:color="auto"/>
          </w:divBdr>
        </w:div>
        <w:div w:id="1047485487">
          <w:marLeft w:val="0"/>
          <w:marRight w:val="0"/>
          <w:marTop w:val="0"/>
          <w:marBottom w:val="0"/>
          <w:divBdr>
            <w:top w:val="none" w:sz="0" w:space="0" w:color="auto"/>
            <w:left w:val="none" w:sz="0" w:space="0" w:color="auto"/>
            <w:bottom w:val="none" w:sz="0" w:space="0" w:color="auto"/>
            <w:right w:val="none" w:sz="0" w:space="0" w:color="auto"/>
          </w:divBdr>
        </w:div>
      </w:divsChild>
    </w:div>
    <w:div w:id="703864396">
      <w:bodyDiv w:val="1"/>
      <w:marLeft w:val="0"/>
      <w:marRight w:val="0"/>
      <w:marTop w:val="0"/>
      <w:marBottom w:val="0"/>
      <w:divBdr>
        <w:top w:val="none" w:sz="0" w:space="0" w:color="auto"/>
        <w:left w:val="none" w:sz="0" w:space="0" w:color="auto"/>
        <w:bottom w:val="none" w:sz="0" w:space="0" w:color="auto"/>
        <w:right w:val="none" w:sz="0" w:space="0" w:color="auto"/>
      </w:divBdr>
    </w:div>
    <w:div w:id="727799849">
      <w:bodyDiv w:val="1"/>
      <w:marLeft w:val="0"/>
      <w:marRight w:val="0"/>
      <w:marTop w:val="0"/>
      <w:marBottom w:val="0"/>
      <w:divBdr>
        <w:top w:val="none" w:sz="0" w:space="0" w:color="auto"/>
        <w:left w:val="none" w:sz="0" w:space="0" w:color="auto"/>
        <w:bottom w:val="none" w:sz="0" w:space="0" w:color="auto"/>
        <w:right w:val="none" w:sz="0" w:space="0" w:color="auto"/>
      </w:divBdr>
      <w:divsChild>
        <w:div w:id="1142498216">
          <w:marLeft w:val="0"/>
          <w:marRight w:val="0"/>
          <w:marTop w:val="0"/>
          <w:marBottom w:val="0"/>
          <w:divBdr>
            <w:top w:val="none" w:sz="0" w:space="0" w:color="auto"/>
            <w:left w:val="none" w:sz="0" w:space="0" w:color="auto"/>
            <w:bottom w:val="none" w:sz="0" w:space="0" w:color="auto"/>
            <w:right w:val="none" w:sz="0" w:space="0" w:color="auto"/>
          </w:divBdr>
          <w:divsChild>
            <w:div w:id="1392995180">
              <w:marLeft w:val="0"/>
              <w:marRight w:val="0"/>
              <w:marTop w:val="0"/>
              <w:marBottom w:val="0"/>
              <w:divBdr>
                <w:top w:val="none" w:sz="0" w:space="0" w:color="auto"/>
                <w:left w:val="none" w:sz="0" w:space="0" w:color="auto"/>
                <w:bottom w:val="none" w:sz="0" w:space="0" w:color="auto"/>
                <w:right w:val="none" w:sz="0" w:space="0" w:color="auto"/>
              </w:divBdr>
              <w:divsChild>
                <w:div w:id="1626109572">
                  <w:marLeft w:val="0"/>
                  <w:marRight w:val="0"/>
                  <w:marTop w:val="0"/>
                  <w:marBottom w:val="0"/>
                  <w:divBdr>
                    <w:top w:val="none" w:sz="0" w:space="0" w:color="auto"/>
                    <w:left w:val="none" w:sz="0" w:space="0" w:color="auto"/>
                    <w:bottom w:val="none" w:sz="0" w:space="0" w:color="auto"/>
                    <w:right w:val="none" w:sz="0" w:space="0" w:color="auto"/>
                  </w:divBdr>
                  <w:divsChild>
                    <w:div w:id="137596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630">
          <w:marLeft w:val="0"/>
          <w:marRight w:val="0"/>
          <w:marTop w:val="0"/>
          <w:marBottom w:val="0"/>
          <w:divBdr>
            <w:top w:val="none" w:sz="0" w:space="0" w:color="auto"/>
            <w:left w:val="none" w:sz="0" w:space="0" w:color="auto"/>
            <w:bottom w:val="none" w:sz="0" w:space="0" w:color="auto"/>
            <w:right w:val="none" w:sz="0" w:space="0" w:color="auto"/>
          </w:divBdr>
        </w:div>
      </w:divsChild>
    </w:div>
    <w:div w:id="778068108">
      <w:bodyDiv w:val="1"/>
      <w:marLeft w:val="0"/>
      <w:marRight w:val="0"/>
      <w:marTop w:val="0"/>
      <w:marBottom w:val="0"/>
      <w:divBdr>
        <w:top w:val="none" w:sz="0" w:space="0" w:color="auto"/>
        <w:left w:val="none" w:sz="0" w:space="0" w:color="auto"/>
        <w:bottom w:val="none" w:sz="0" w:space="0" w:color="auto"/>
        <w:right w:val="none" w:sz="0" w:space="0" w:color="auto"/>
      </w:divBdr>
      <w:divsChild>
        <w:div w:id="2009169177">
          <w:marLeft w:val="0"/>
          <w:marRight w:val="0"/>
          <w:marTop w:val="0"/>
          <w:marBottom w:val="0"/>
          <w:divBdr>
            <w:top w:val="none" w:sz="0" w:space="0" w:color="auto"/>
            <w:left w:val="none" w:sz="0" w:space="0" w:color="auto"/>
            <w:bottom w:val="none" w:sz="0" w:space="0" w:color="auto"/>
            <w:right w:val="none" w:sz="0" w:space="0" w:color="auto"/>
          </w:divBdr>
        </w:div>
        <w:div w:id="1549218485">
          <w:marLeft w:val="0"/>
          <w:marRight w:val="0"/>
          <w:marTop w:val="0"/>
          <w:marBottom w:val="0"/>
          <w:divBdr>
            <w:top w:val="none" w:sz="0" w:space="0" w:color="auto"/>
            <w:left w:val="none" w:sz="0" w:space="0" w:color="auto"/>
            <w:bottom w:val="none" w:sz="0" w:space="0" w:color="auto"/>
            <w:right w:val="none" w:sz="0" w:space="0" w:color="auto"/>
          </w:divBdr>
        </w:div>
        <w:div w:id="1841385098">
          <w:marLeft w:val="0"/>
          <w:marRight w:val="0"/>
          <w:marTop w:val="0"/>
          <w:marBottom w:val="0"/>
          <w:divBdr>
            <w:top w:val="none" w:sz="0" w:space="0" w:color="auto"/>
            <w:left w:val="none" w:sz="0" w:space="0" w:color="auto"/>
            <w:bottom w:val="none" w:sz="0" w:space="0" w:color="auto"/>
            <w:right w:val="none" w:sz="0" w:space="0" w:color="auto"/>
          </w:divBdr>
        </w:div>
      </w:divsChild>
    </w:div>
    <w:div w:id="1314915936">
      <w:bodyDiv w:val="1"/>
      <w:marLeft w:val="0"/>
      <w:marRight w:val="0"/>
      <w:marTop w:val="0"/>
      <w:marBottom w:val="0"/>
      <w:divBdr>
        <w:top w:val="none" w:sz="0" w:space="0" w:color="auto"/>
        <w:left w:val="none" w:sz="0" w:space="0" w:color="auto"/>
        <w:bottom w:val="none" w:sz="0" w:space="0" w:color="auto"/>
        <w:right w:val="none" w:sz="0" w:space="0" w:color="auto"/>
      </w:divBdr>
    </w:div>
    <w:div w:id="1561595559">
      <w:bodyDiv w:val="1"/>
      <w:marLeft w:val="0"/>
      <w:marRight w:val="0"/>
      <w:marTop w:val="0"/>
      <w:marBottom w:val="0"/>
      <w:divBdr>
        <w:top w:val="none" w:sz="0" w:space="0" w:color="auto"/>
        <w:left w:val="none" w:sz="0" w:space="0" w:color="auto"/>
        <w:bottom w:val="none" w:sz="0" w:space="0" w:color="auto"/>
        <w:right w:val="none" w:sz="0" w:space="0" w:color="auto"/>
      </w:divBdr>
    </w:div>
    <w:div w:id="1597641114">
      <w:bodyDiv w:val="1"/>
      <w:marLeft w:val="0"/>
      <w:marRight w:val="0"/>
      <w:marTop w:val="0"/>
      <w:marBottom w:val="0"/>
      <w:divBdr>
        <w:top w:val="none" w:sz="0" w:space="0" w:color="auto"/>
        <w:left w:val="none" w:sz="0" w:space="0" w:color="auto"/>
        <w:bottom w:val="none" w:sz="0" w:space="0" w:color="auto"/>
        <w:right w:val="none" w:sz="0" w:space="0" w:color="auto"/>
      </w:divBdr>
    </w:div>
    <w:div w:id="1613856680">
      <w:bodyDiv w:val="1"/>
      <w:marLeft w:val="0"/>
      <w:marRight w:val="0"/>
      <w:marTop w:val="0"/>
      <w:marBottom w:val="0"/>
      <w:divBdr>
        <w:top w:val="none" w:sz="0" w:space="0" w:color="auto"/>
        <w:left w:val="none" w:sz="0" w:space="0" w:color="auto"/>
        <w:bottom w:val="none" w:sz="0" w:space="0" w:color="auto"/>
        <w:right w:val="none" w:sz="0" w:space="0" w:color="auto"/>
      </w:divBdr>
    </w:div>
    <w:div w:id="1651904901">
      <w:bodyDiv w:val="1"/>
      <w:marLeft w:val="0"/>
      <w:marRight w:val="0"/>
      <w:marTop w:val="0"/>
      <w:marBottom w:val="0"/>
      <w:divBdr>
        <w:top w:val="none" w:sz="0" w:space="0" w:color="auto"/>
        <w:left w:val="none" w:sz="0" w:space="0" w:color="auto"/>
        <w:bottom w:val="none" w:sz="0" w:space="0" w:color="auto"/>
        <w:right w:val="none" w:sz="0" w:space="0" w:color="auto"/>
      </w:divBdr>
    </w:div>
    <w:div w:id="165841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32+483+09+98+80" TargetMode="External"/><Relationship Id="rId3" Type="http://schemas.openxmlformats.org/officeDocument/2006/relationships/webSettings" Target="webSettings.xml"/><Relationship Id="rId7" Type="http://schemas.openxmlformats.org/officeDocument/2006/relationships/hyperlink" Target="http://www.alterfac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Sokay</dc:creator>
  <cp:keywords/>
  <dc:description/>
  <cp:lastModifiedBy>Giulia Florian</cp:lastModifiedBy>
  <cp:revision>8</cp:revision>
  <cp:lastPrinted>2023-11-09T11:33:00Z</cp:lastPrinted>
  <dcterms:created xsi:type="dcterms:W3CDTF">2024-11-14T14:55:00Z</dcterms:created>
  <dcterms:modified xsi:type="dcterms:W3CDTF">2024-11-18T15:16:00Z</dcterms:modified>
</cp:coreProperties>
</file>